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黑体"/>
          <w:sz w:val="28"/>
          <w:szCs w:val="28"/>
        </w:rPr>
      </w:pPr>
    </w:p>
    <w:p>
      <w:pPr>
        <w:rPr>
          <w:rFonts w:hint="eastAsia" w:ascii="仿宋_GB2312" w:hAnsi="宋体" w:eastAsia="仿宋_GB2312" w:cs="仿宋_GB2312"/>
          <w:kern w:val="0"/>
        </w:rPr>
      </w:pPr>
    </w:p>
    <w:p>
      <w:pPr>
        <w:widowControl/>
        <w:ind w:firstLine="560" w:firstLineChars="200"/>
        <w:rPr>
          <w:rFonts w:ascii="黑体" w:hAnsi="宋体" w:eastAsia="黑体" w:cs="黑体"/>
          <w:sz w:val="28"/>
          <w:szCs w:val="28"/>
        </w:rPr>
      </w:pPr>
      <w:r>
        <w:rPr>
          <w:rFonts w:hint="eastAsia" w:ascii="黑体" w:hAnsi="宋体" w:eastAsia="黑体" w:cs="黑体"/>
          <w:sz w:val="28"/>
          <w:szCs w:val="28"/>
        </w:rPr>
        <w:t>附2：</w:t>
      </w:r>
    </w:p>
    <w:p/>
    <w:p>
      <w:pPr>
        <w:jc w:val="center"/>
        <w:rPr>
          <w:rFonts w:hint="eastAsia" w:ascii="方正小标宋简体" w:hAnsi="宋体" w:eastAsia="方正小标宋简体" w:cs="方正小标宋简体"/>
          <w:sz w:val="36"/>
          <w:szCs w:val="36"/>
          <w:lang w:eastAsia="zh-CN"/>
        </w:rPr>
      </w:pPr>
      <w:r>
        <w:rPr>
          <w:rFonts w:hint="eastAsia" w:ascii="方正小标宋简体" w:hAnsi="宋体" w:eastAsia="方正小标宋简体" w:cs="方正小标宋简体"/>
          <w:sz w:val="36"/>
          <w:szCs w:val="36"/>
          <w:lang w:val="en-US" w:eastAsia="zh-CN"/>
        </w:rPr>
        <w:t>2020</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襄阳市中级人民法院</w:t>
      </w:r>
    </w:p>
    <w:p>
      <w:pPr>
        <w:jc w:val="center"/>
        <w:rPr>
          <w:rFonts w:ascii="方正小标宋简体" w:hAnsi="宋体" w:eastAsia="方正小标宋简体" w:cs="Times New Roman"/>
          <w:sz w:val="36"/>
          <w:szCs w:val="36"/>
        </w:rPr>
      </w:pPr>
      <w:r>
        <w:rPr>
          <w:rFonts w:hint="eastAsia" w:ascii="方正小标宋简体" w:hAnsi="宋体" w:eastAsia="方正小标宋简体" w:cs="方正小标宋简体"/>
          <w:sz w:val="36"/>
          <w:szCs w:val="36"/>
        </w:rPr>
        <w:t>部门整体绩效自评表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湖北省襄阳市中级人民法院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val="en-US" w:eastAsia="zh-CN"/>
        </w:rPr>
        <w:t xml:space="preserve">   </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2020/03/02</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420" w:type="dxa"/>
            <w:gridSpan w:val="8"/>
            <w:noWrap w:val="0"/>
            <w:vAlign w:val="center"/>
          </w:tcPr>
          <w:p>
            <w:pPr>
              <w:widowControl/>
              <w:jc w:val="center"/>
              <w:rPr>
                <w:rFonts w:ascii="仿宋_GB2312" w:hAnsi="宋体" w:eastAsia="仿宋_GB2312" w:cs="Times New Roman"/>
                <w:kern w:val="0"/>
              </w:rPr>
            </w:pPr>
            <w:r>
              <w:rPr>
                <w:rFonts w:hint="eastAsia" w:ascii="楷体_GB2312" w:hAnsi="仿宋" w:eastAsia="楷体_GB2312" w:cs="楷体_GB2312"/>
                <w:kern w:val="0"/>
                <w:sz w:val="28"/>
                <w:szCs w:val="28"/>
                <w:lang w:eastAsia="zh-CN"/>
              </w:rPr>
              <w:t>湖北省襄阳市中级人民法院</w:t>
            </w:r>
            <w:r>
              <w:rPr>
                <w:rFonts w:ascii="楷体_GB2312" w:hAnsi="仿宋" w:eastAsia="楷体_GB2312" w:cs="楷体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364" w:type="dxa"/>
            <w:gridSpan w:val="3"/>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6459.74</w:t>
            </w:r>
          </w:p>
        </w:tc>
        <w:tc>
          <w:tcPr>
            <w:tcW w:w="2520"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1536" w:type="dxa"/>
            <w:gridSpan w:val="2"/>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797.48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noWrap w:val="0"/>
            <w:vAlign w:val="center"/>
          </w:tcPr>
          <w:p>
            <w:pPr>
              <w:widowControl/>
              <w:jc w:val="center"/>
              <w:rPr>
                <w:rFonts w:ascii="仿宋_GB2312" w:hAnsi="宋体" w:eastAsia="仿宋_GB2312" w:cs="Times New Roman"/>
                <w:kern w:val="0"/>
              </w:rPr>
            </w:pPr>
          </w:p>
        </w:tc>
        <w:tc>
          <w:tcPr>
            <w:tcW w:w="1319" w:type="dxa"/>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部门整体支出总额</w:t>
            </w:r>
          </w:p>
        </w:tc>
        <w:tc>
          <w:tcPr>
            <w:tcW w:w="1319" w:type="dxa"/>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7257.22</w:t>
            </w:r>
          </w:p>
        </w:tc>
        <w:tc>
          <w:tcPr>
            <w:tcW w:w="1317" w:type="dxa"/>
            <w:gridSpan w:val="2"/>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7257.22</w:t>
            </w:r>
          </w:p>
        </w:tc>
        <w:tc>
          <w:tcPr>
            <w:tcW w:w="1466" w:type="dxa"/>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3"/>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年度目标1：</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分）</w:t>
            </w:r>
          </w:p>
        </w:tc>
        <w:tc>
          <w:tcPr>
            <w:tcW w:w="7420" w:type="dxa"/>
            <w:gridSpan w:val="8"/>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加大办案力度，更好地履行法律赋予的职能，维护司法权威和公信力，努力让人民群众在每一个司法案件中感受到公平正义。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年度绩效指标</w:t>
            </w:r>
          </w:p>
        </w:tc>
        <w:tc>
          <w:tcPr>
            <w:tcW w:w="700" w:type="dxa"/>
            <w:noWrap w:val="0"/>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ascii="仿宋_GB2312" w:hAnsi="宋体" w:eastAsia="仿宋_GB2312" w:cs="Times New Roman"/>
                <w:kern w:val="0"/>
              </w:rPr>
            </w:pPr>
          </w:p>
        </w:tc>
        <w:tc>
          <w:tcPr>
            <w:tcW w:w="700" w:type="dxa"/>
            <w:vMerge w:val="restart"/>
            <w:noWrap w:val="0"/>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年度计划工作完成率</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90%</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95%</w:t>
            </w:r>
          </w:p>
        </w:tc>
        <w:tc>
          <w:tcPr>
            <w:tcW w:w="877"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质量指标</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案件质量评查合格率</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p>
        </w:tc>
        <w:tc>
          <w:tcPr>
            <w:tcW w:w="877"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时效指标</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正常审限期内案件结案率</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92%</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92%</w:t>
            </w:r>
          </w:p>
        </w:tc>
        <w:tc>
          <w:tcPr>
            <w:tcW w:w="877"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项目成本控制率</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不超预算</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不超预算</w:t>
            </w:r>
          </w:p>
        </w:tc>
        <w:tc>
          <w:tcPr>
            <w:tcW w:w="877"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ascii="仿宋_GB2312" w:hAnsi="宋体" w:eastAsia="仿宋_GB2312" w:cs="Times New Roman"/>
                <w:kern w:val="0"/>
              </w:rPr>
            </w:pPr>
          </w:p>
        </w:tc>
        <w:tc>
          <w:tcPr>
            <w:tcW w:w="700" w:type="dxa"/>
            <w:vMerge w:val="restart"/>
            <w:noWrap w:val="0"/>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noWrap w:val="0"/>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2636" w:type="dxa"/>
            <w:gridSpan w:val="3"/>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促进经济发展社会和谐稳定</w:t>
            </w:r>
          </w:p>
        </w:tc>
        <w:tc>
          <w:tcPr>
            <w:tcW w:w="1466" w:type="dxa"/>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促进</w:t>
            </w:r>
          </w:p>
        </w:tc>
        <w:tc>
          <w:tcPr>
            <w:tcW w:w="1319" w:type="dxa"/>
            <w:gridSpan w:val="2"/>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促进</w:t>
            </w:r>
          </w:p>
        </w:tc>
        <w:tc>
          <w:tcPr>
            <w:tcW w:w="877" w:type="dxa"/>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社会效益</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保障机关正常运转</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保障</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保障</w:t>
            </w:r>
          </w:p>
        </w:tc>
        <w:tc>
          <w:tcPr>
            <w:tcW w:w="877" w:type="dxa"/>
            <w:noWrap w:val="0"/>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满意度指标</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内部机构人员满意度</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90%</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90%</w:t>
            </w:r>
          </w:p>
        </w:tc>
        <w:tc>
          <w:tcPr>
            <w:tcW w:w="877" w:type="dxa"/>
            <w:noWrap w:val="0"/>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ascii="仿宋_GB2312" w:hAnsi="宋体" w:eastAsia="仿宋_GB2312" w:cs="Times New Roman"/>
                <w:kern w:val="0"/>
              </w:rPr>
            </w:pPr>
          </w:p>
        </w:tc>
        <w:tc>
          <w:tcPr>
            <w:tcW w:w="700" w:type="dxa"/>
            <w:vMerge w:val="continue"/>
            <w:noWrap w:val="0"/>
            <w:vAlign w:val="center"/>
          </w:tcPr>
          <w:p>
            <w:pPr>
              <w:widowControl/>
              <w:jc w:val="center"/>
              <w:rPr>
                <w:rFonts w:ascii="仿宋_GB2312" w:hAnsi="宋体" w:eastAsia="仿宋_GB2312" w:cs="Times New Roman"/>
                <w:kern w:val="0"/>
              </w:rPr>
            </w:pPr>
          </w:p>
        </w:tc>
        <w:tc>
          <w:tcPr>
            <w:tcW w:w="1122"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社会效益</w:t>
            </w:r>
          </w:p>
        </w:tc>
        <w:tc>
          <w:tcPr>
            <w:tcW w:w="2636" w:type="dxa"/>
            <w:gridSpan w:val="3"/>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保护当事人合法权益</w:t>
            </w:r>
          </w:p>
        </w:tc>
        <w:tc>
          <w:tcPr>
            <w:tcW w:w="1466"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保障</w:t>
            </w:r>
          </w:p>
        </w:tc>
        <w:tc>
          <w:tcPr>
            <w:tcW w:w="1319" w:type="dxa"/>
            <w:gridSpan w:val="2"/>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保障</w:t>
            </w:r>
          </w:p>
        </w:tc>
        <w:tc>
          <w:tcPr>
            <w:tcW w:w="877" w:type="dxa"/>
            <w:noWrap w:val="0"/>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noWrap w:val="0"/>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52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2020年度部门整体绩效目标达成预期指标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进一步提高办案效率与水平，保障本年度审判执行工作有序高效的开展，审判各类诉讼案件，维护社会稳定，调整社会关系，推进法治国家的建设。</w:t>
            </w:r>
          </w:p>
        </w:tc>
      </w:tr>
    </w:tbl>
    <w:p>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pPr>
        <w:widowControl/>
        <w:ind w:firstLine="400" w:firstLineChars="200"/>
        <w:rPr>
          <w:rFonts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bookmarkStart w:id="0" w:name="_GoBack"/>
      <w:bookmarkEnd w:id="0"/>
    </w:p>
    <w:p>
      <w:pPr>
        <w:spacing w:line="480" w:lineRule="auto"/>
        <w:jc w:val="both"/>
        <w:rPr>
          <w:rFonts w:ascii="宋体" w:hAnsi="宋体"/>
          <w:b/>
          <w:sz w:val="36"/>
          <w:szCs w:val="36"/>
        </w:rPr>
      </w:pPr>
      <w:r>
        <w:rPr>
          <w:rFonts w:hint="eastAsia" w:ascii="宋体" w:hAnsi="宋体"/>
          <w:b/>
          <w:sz w:val="36"/>
          <w:szCs w:val="36"/>
        </w:rPr>
        <w:t>襄阳市中级人民法院</w:t>
      </w:r>
      <w:r>
        <w:rPr>
          <w:rFonts w:hint="eastAsia" w:ascii="宋体" w:hAnsi="宋体"/>
          <w:b/>
          <w:sz w:val="36"/>
          <w:szCs w:val="36"/>
          <w:lang w:val="en-US" w:eastAsia="zh-CN"/>
        </w:rPr>
        <w:t>2020年</w:t>
      </w:r>
      <w:r>
        <w:rPr>
          <w:rFonts w:hint="eastAsia" w:ascii="宋体" w:hAnsi="宋体"/>
          <w:b/>
          <w:sz w:val="36"/>
          <w:szCs w:val="36"/>
        </w:rPr>
        <w:t>整体支出绩效自评报告</w:t>
      </w:r>
    </w:p>
    <w:p>
      <w:pPr>
        <w:spacing w:line="540" w:lineRule="exact"/>
        <w:ind w:firstLine="720" w:firstLineChars="200"/>
        <w:jc w:val="center"/>
        <w:rPr>
          <w:rFonts w:hint="eastAsia" w:ascii="宋体" w:hAnsi="宋体"/>
          <w:sz w:val="36"/>
          <w:szCs w:val="36"/>
        </w:rPr>
      </w:pPr>
    </w:p>
    <w:p>
      <w:pPr>
        <w:spacing w:line="610" w:lineRule="exact"/>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spacing w:line="61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（一）部门整体绩效自评得分。</w:t>
      </w:r>
    </w:p>
    <w:p>
      <w:pPr>
        <w:spacing w:line="610" w:lineRule="exact"/>
        <w:ind w:firstLine="64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99.5分</w:t>
      </w:r>
    </w:p>
    <w:p>
      <w:pPr>
        <w:spacing w:line="610" w:lineRule="exact"/>
        <w:ind w:firstLine="640"/>
        <w:rPr>
          <w:rFonts w:ascii="楷体" w:hAnsi="楷体" w:eastAsia="楷体" w:cs="Times New Roman"/>
          <w:sz w:val="32"/>
          <w:szCs w:val="32"/>
        </w:rPr>
      </w:pPr>
      <w:r>
        <w:rPr>
          <w:rFonts w:hint="eastAsia" w:ascii="楷体" w:hAnsi="楷体" w:eastAsia="楷体" w:cs="楷体"/>
          <w:sz w:val="32"/>
          <w:szCs w:val="32"/>
        </w:rPr>
        <w:t>（二）部门整体绩效目标完成情况。</w:t>
      </w:r>
    </w:p>
    <w:p>
      <w:pPr>
        <w:spacing w:line="610" w:lineRule="exact"/>
        <w:ind w:firstLine="640"/>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执行率情况。</w:t>
      </w:r>
    </w:p>
    <w:p>
      <w:pPr>
        <w:spacing w:line="610" w:lineRule="exact"/>
        <w:ind w:firstLine="64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预算执行率100%</w:t>
      </w:r>
    </w:p>
    <w:p>
      <w:pPr>
        <w:spacing w:line="610" w:lineRule="exact"/>
        <w:ind w:firstLine="640"/>
        <w:rPr>
          <w:rFonts w:hint="eastAsia"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完成的绩效目标。</w:t>
      </w:r>
    </w:p>
    <w:p>
      <w:pPr>
        <w:spacing w:line="610" w:lineRule="exact"/>
        <w:ind w:firstLine="640"/>
        <w:rPr>
          <w:rFonts w:hint="eastAsia" w:ascii="仿宋" w:hAnsi="仿宋" w:eastAsia="仿宋" w:cs="仿宋_GB2312"/>
          <w:sz w:val="32"/>
          <w:szCs w:val="32"/>
        </w:rPr>
      </w:pPr>
      <w:r>
        <w:rPr>
          <w:rFonts w:hint="eastAsia" w:ascii="仿宋" w:hAnsi="仿宋" w:eastAsia="仿宋" w:cs="仿宋_GB2312"/>
          <w:sz w:val="32"/>
          <w:szCs w:val="32"/>
        </w:rPr>
        <w:t>保障人民法院审判、执行活动的顺利进行，维护当事人的合法权益，有效地维护社会稳定。</w:t>
      </w:r>
    </w:p>
    <w:p>
      <w:pPr>
        <w:spacing w:line="610" w:lineRule="exact"/>
        <w:ind w:firstLine="640"/>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未完成的绩效目标。</w:t>
      </w:r>
    </w:p>
    <w:p>
      <w:pPr>
        <w:spacing w:line="610" w:lineRule="exact"/>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无</w:t>
      </w:r>
    </w:p>
    <w:p>
      <w:pPr>
        <w:spacing w:line="610" w:lineRule="exact"/>
        <w:ind w:firstLine="640"/>
        <w:rPr>
          <w:rFonts w:hint="eastAsia" w:ascii="楷体" w:hAnsi="楷体" w:eastAsia="楷体" w:cs="楷体"/>
          <w:sz w:val="32"/>
          <w:szCs w:val="32"/>
        </w:rPr>
      </w:pPr>
      <w:r>
        <w:rPr>
          <w:rFonts w:hint="eastAsia" w:ascii="楷体" w:hAnsi="楷体" w:eastAsia="楷体" w:cs="楷体"/>
          <w:sz w:val="32"/>
          <w:szCs w:val="32"/>
        </w:rPr>
        <w:t>（三）存在的问题。</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本年度办案业务专项经费和综合运转保障专项经费绩效指标基本上都达到了预算目标，年初预算资金安排较为合理，预算执行率均为</w:t>
      </w:r>
      <w:r>
        <w:rPr>
          <w:rFonts w:hint="eastAsia" w:ascii="仿宋" w:hAnsi="仿宋" w:eastAsia="仿宋" w:cs="仿宋_GB2312"/>
          <w:sz w:val="32"/>
          <w:szCs w:val="32"/>
          <w:lang w:val="en-US" w:eastAsia="zh-CN"/>
        </w:rPr>
        <w:t>100%。</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（四）下一步拟改进措施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进一步提高办案效率与水平，保障本年度审判执行工作有序高效的开展，审判各类诉讼案件，维护社会稳定，调整社会关系，推进法治国家的建设。</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高标准、严要求，发挥职能，服务大局；提高审判质效，确保办案公平公正，坚持从严治院，履行法律赋予的职能；坚决维护司法权威和公信力，努力让人民群众在每一个司法案件中感受到公平正义。</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3.进一步推进预决算等重要信息的公开透明，自觉接受广大人民群众监督。</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附件：2020年度部门整体部门自评表</w:t>
      </w:r>
    </w:p>
    <w:p>
      <w:pPr>
        <w:spacing w:line="58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二、佐证资料</w:t>
      </w:r>
    </w:p>
    <w:p>
      <w:pPr>
        <w:spacing w:line="610" w:lineRule="exact"/>
        <w:ind w:firstLine="640" w:firstLineChars="200"/>
        <w:rPr>
          <w:rFonts w:ascii="楷体" w:hAnsi="楷体" w:eastAsia="楷体" w:cs="Times New Roman"/>
          <w:sz w:val="32"/>
          <w:szCs w:val="32"/>
        </w:rPr>
      </w:pPr>
      <w:r>
        <w:rPr>
          <w:rFonts w:hint="eastAsia" w:ascii="楷体" w:hAnsi="楷体" w:eastAsia="楷体" w:cs="楷体"/>
          <w:sz w:val="32"/>
          <w:szCs w:val="32"/>
        </w:rPr>
        <w:t>（一）基本情况</w:t>
      </w:r>
    </w:p>
    <w:p>
      <w:pPr>
        <w:spacing w:line="580" w:lineRule="exact"/>
        <w:ind w:firstLine="598" w:firstLineChars="187"/>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简要概述部门支出情况以及当年重点工作。</w:t>
      </w:r>
    </w:p>
    <w:p>
      <w:pPr>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襄阳中院紧紧围绕全市经济社会发展大局，践行“公正司法”工作主题，大力加强自身改革和建设，不断规范审执行为，努力提高工作质量和效率，努力争创全国优秀法院，坚持服务大局，着力维护社会稳定。20</w:t>
      </w:r>
      <w:r>
        <w:rPr>
          <w:rFonts w:hint="eastAsia" w:ascii="仿宋" w:hAnsi="仿宋" w:eastAsia="仿宋"/>
          <w:sz w:val="32"/>
          <w:szCs w:val="32"/>
          <w:lang w:val="en-US" w:eastAsia="zh-CN"/>
        </w:rPr>
        <w:t>20</w:t>
      </w:r>
      <w:r>
        <w:rPr>
          <w:rFonts w:hint="eastAsia" w:ascii="仿宋" w:hAnsi="仿宋" w:eastAsia="仿宋"/>
          <w:sz w:val="32"/>
          <w:szCs w:val="32"/>
        </w:rPr>
        <w:t>年我院在经济发展下行、经济结构调整、社会矛盾多发的严峻形势下，积极做出司法应对，立足于审判职能作用的充分发挥，认真服务各类市场主体，妥善化解矛盾纠纷。以智能化为驱动，以规范化为引领，</w:t>
      </w:r>
      <w:r>
        <w:rPr>
          <w:rFonts w:hint="eastAsia" w:ascii="仿宋" w:hAnsi="仿宋" w:eastAsia="仿宋"/>
          <w:sz w:val="32"/>
          <w:szCs w:val="32"/>
          <w:lang w:eastAsia="zh-CN"/>
        </w:rPr>
        <w:t>解决“执行难”，优化法治化营商环境</w:t>
      </w:r>
      <w:r>
        <w:rPr>
          <w:rFonts w:hint="eastAsia" w:ascii="仿宋" w:hAnsi="仿宋" w:eastAsia="仿宋"/>
          <w:sz w:val="32"/>
          <w:szCs w:val="32"/>
        </w:rPr>
        <w:t>，为襄阳市</w:t>
      </w:r>
      <w:r>
        <w:rPr>
          <w:rFonts w:hint="eastAsia" w:ascii="仿宋" w:hAnsi="仿宋" w:eastAsia="仿宋"/>
          <w:sz w:val="32"/>
          <w:szCs w:val="32"/>
          <w:lang w:eastAsia="zh-CN"/>
        </w:rPr>
        <w:t>的高质量发展</w:t>
      </w:r>
      <w:r>
        <w:rPr>
          <w:rFonts w:hint="eastAsia" w:ascii="仿宋" w:hAnsi="仿宋" w:eastAsia="仿宋"/>
          <w:sz w:val="32"/>
          <w:szCs w:val="32"/>
        </w:rPr>
        <w:t>提供司法保障。</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简要概述年度部门整体绩效目标。</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2020年，办案业务、综合运转等项目经费预算执行率均为100%，全年受案数11997件。切实</w:t>
      </w:r>
      <w:r>
        <w:rPr>
          <w:rFonts w:hint="eastAsia" w:ascii="仿宋" w:hAnsi="仿宋" w:eastAsia="仿宋" w:cs="仿宋_GB2312"/>
          <w:sz w:val="32"/>
          <w:szCs w:val="32"/>
        </w:rPr>
        <w:t>保障人民法院审判、执行活动的顺利进行，惩治罪犯，保障人权，解决纠纷，调整社会关系，维护当事人的合法权益，有效地维护社会稳定，保卫国家制度和利益，保护公民、法人和其他组织的合法权益。</w:t>
      </w:r>
    </w:p>
    <w:p>
      <w:pPr>
        <w:spacing w:line="610" w:lineRule="exact"/>
        <w:ind w:firstLine="640"/>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部门自评工作开展情况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r>
        <w:rPr>
          <w:rFonts w:hint="eastAsia" w:ascii="仿宋" w:hAnsi="仿宋" w:eastAsia="仿宋" w:cs="仿宋"/>
          <w:color w:val="101010"/>
          <w:kern w:val="0"/>
          <w:sz w:val="32"/>
          <w:szCs w:val="32"/>
        </w:rPr>
        <w:t>根据《</w:t>
      </w:r>
      <w:r>
        <w:rPr>
          <w:rFonts w:hint="eastAsia" w:ascii="仿宋" w:hAnsi="仿宋" w:eastAsia="仿宋" w:cs="仿宋"/>
          <w:color w:val="101010"/>
          <w:kern w:val="0"/>
          <w:sz w:val="32"/>
          <w:szCs w:val="32"/>
          <w:lang w:eastAsia="zh-CN"/>
        </w:rPr>
        <w:t>湖北省省级预算绩效评价管理暂行办法</w:t>
      </w:r>
      <w:r>
        <w:rPr>
          <w:rFonts w:hint="eastAsia" w:ascii="仿宋" w:hAnsi="仿宋" w:eastAsia="仿宋" w:cs="仿宋"/>
          <w:color w:val="101010"/>
          <w:kern w:val="0"/>
          <w:sz w:val="32"/>
          <w:szCs w:val="32"/>
        </w:rPr>
        <w:t>》文件要求，</w:t>
      </w:r>
      <w:r>
        <w:rPr>
          <w:rFonts w:hint="eastAsia" w:ascii="仿宋" w:hAnsi="仿宋" w:eastAsia="仿宋" w:cs="仿宋"/>
          <w:color w:val="101010"/>
          <w:kern w:val="0"/>
          <w:sz w:val="32"/>
          <w:szCs w:val="32"/>
          <w:lang w:eastAsia="zh-CN"/>
        </w:rPr>
        <w:t>我院</w:t>
      </w:r>
      <w:r>
        <w:rPr>
          <w:rFonts w:hint="eastAsia" w:ascii="仿宋" w:hAnsi="仿宋" w:eastAsia="仿宋" w:cs="仿宋"/>
          <w:color w:val="101010"/>
          <w:kern w:val="0"/>
          <w:sz w:val="32"/>
          <w:szCs w:val="32"/>
        </w:rPr>
        <w:t>对20</w:t>
      </w:r>
      <w:r>
        <w:rPr>
          <w:rFonts w:hint="eastAsia" w:ascii="仿宋" w:hAnsi="仿宋" w:eastAsia="仿宋" w:cs="仿宋"/>
          <w:color w:val="101010"/>
          <w:kern w:val="0"/>
          <w:sz w:val="32"/>
          <w:szCs w:val="32"/>
          <w:lang w:val="en-US" w:eastAsia="zh-CN"/>
        </w:rPr>
        <w:t>20</w:t>
      </w:r>
      <w:r>
        <w:rPr>
          <w:rFonts w:hint="eastAsia" w:ascii="仿宋" w:hAnsi="仿宋" w:eastAsia="仿宋" w:cs="仿宋"/>
          <w:color w:val="101010"/>
          <w:kern w:val="0"/>
          <w:sz w:val="32"/>
          <w:szCs w:val="32"/>
        </w:rPr>
        <w:t>年度部门整体支出数据的准确性、真实性进行核实，将20</w:t>
      </w:r>
      <w:r>
        <w:rPr>
          <w:rFonts w:hint="eastAsia" w:ascii="仿宋" w:hAnsi="仿宋" w:eastAsia="仿宋" w:cs="仿宋"/>
          <w:color w:val="101010"/>
          <w:kern w:val="0"/>
          <w:sz w:val="32"/>
          <w:szCs w:val="32"/>
          <w:lang w:val="en-US" w:eastAsia="zh-CN"/>
        </w:rPr>
        <w:t>20</w:t>
      </w:r>
      <w:r>
        <w:rPr>
          <w:rFonts w:hint="eastAsia" w:ascii="仿宋" w:hAnsi="仿宋" w:eastAsia="仿宋" w:cs="仿宋"/>
          <w:color w:val="101010"/>
          <w:kern w:val="0"/>
          <w:sz w:val="32"/>
          <w:szCs w:val="32"/>
        </w:rPr>
        <w:t>年度和20</w:t>
      </w:r>
      <w:r>
        <w:rPr>
          <w:rFonts w:hint="eastAsia" w:ascii="仿宋" w:hAnsi="仿宋" w:eastAsia="仿宋" w:cs="仿宋"/>
          <w:color w:val="101010"/>
          <w:kern w:val="0"/>
          <w:sz w:val="32"/>
          <w:szCs w:val="32"/>
          <w:lang w:val="en-US" w:eastAsia="zh-CN"/>
        </w:rPr>
        <w:t>19</w:t>
      </w:r>
      <w:r>
        <w:rPr>
          <w:rFonts w:hint="eastAsia" w:ascii="仿宋" w:hAnsi="仿宋" w:eastAsia="仿宋" w:cs="仿宋"/>
          <w:color w:val="101010"/>
          <w:kern w:val="0"/>
          <w:sz w:val="32"/>
          <w:szCs w:val="32"/>
        </w:rPr>
        <w:t>年度部门整体支出情况进行比较分析。</w:t>
      </w:r>
    </w:p>
    <w:p>
      <w:pPr>
        <w:spacing w:line="540" w:lineRule="exact"/>
        <w:ind w:firstLine="640" w:firstLineChars="200"/>
        <w:rPr>
          <w:rFonts w:hint="eastAsia" w:ascii="仿宋" w:hAnsi="仿宋" w:eastAsia="仿宋" w:cs="仿宋"/>
          <w:color w:val="101010"/>
          <w:kern w:val="0"/>
          <w:sz w:val="32"/>
          <w:szCs w:val="32"/>
        </w:rPr>
      </w:pPr>
      <w:r>
        <w:rPr>
          <w:rFonts w:hint="eastAsia" w:ascii="仿宋" w:hAnsi="仿宋" w:eastAsia="仿宋" w:cs="仿宋"/>
          <w:color w:val="101010"/>
          <w:kern w:val="0"/>
          <w:sz w:val="32"/>
          <w:szCs w:val="32"/>
          <w:lang w:eastAsia="zh-CN"/>
        </w:rPr>
        <w:t>通过</w:t>
      </w:r>
      <w:r>
        <w:rPr>
          <w:rFonts w:hint="eastAsia" w:ascii="仿宋" w:hAnsi="仿宋" w:eastAsia="仿宋" w:cs="仿宋"/>
          <w:color w:val="101010"/>
          <w:kern w:val="0"/>
          <w:sz w:val="32"/>
          <w:szCs w:val="32"/>
        </w:rPr>
        <w:t>查阅</w:t>
      </w:r>
      <w:r>
        <w:rPr>
          <w:rFonts w:hint="eastAsia" w:ascii="仿宋" w:hAnsi="仿宋" w:eastAsia="仿宋" w:cs="仿宋"/>
          <w:color w:val="101010"/>
          <w:kern w:val="0"/>
          <w:sz w:val="32"/>
          <w:szCs w:val="32"/>
          <w:lang w:val="en-US" w:eastAsia="zh-CN"/>
        </w:rPr>
        <w:t>2020</w:t>
      </w:r>
      <w:r>
        <w:rPr>
          <w:rFonts w:hint="eastAsia" w:ascii="仿宋" w:hAnsi="仿宋" w:eastAsia="仿宋" w:cs="仿宋"/>
          <w:color w:val="101010"/>
          <w:kern w:val="0"/>
          <w:sz w:val="32"/>
          <w:szCs w:val="32"/>
        </w:rPr>
        <w:t>年度预算安排、预算追加、资金管理、经费支出、资产管理等相关文件资料和财务凭证</w:t>
      </w:r>
      <w:r>
        <w:rPr>
          <w:rFonts w:hint="eastAsia" w:ascii="仿宋" w:hAnsi="仿宋" w:eastAsia="仿宋" w:cs="仿宋"/>
          <w:color w:val="101010"/>
          <w:kern w:val="0"/>
          <w:sz w:val="32"/>
          <w:szCs w:val="32"/>
          <w:lang w:eastAsia="zh-CN"/>
        </w:rPr>
        <w:t>，</w:t>
      </w:r>
      <w:r>
        <w:rPr>
          <w:rFonts w:hint="eastAsia" w:ascii="仿宋" w:hAnsi="仿宋" w:eastAsia="仿宋" w:cs="仿宋"/>
          <w:color w:val="101010"/>
          <w:kern w:val="0"/>
          <w:sz w:val="32"/>
          <w:szCs w:val="32"/>
        </w:rPr>
        <w:t>结合本院情况进行综合分析</w:t>
      </w:r>
      <w:r>
        <w:rPr>
          <w:rFonts w:hint="eastAsia" w:ascii="仿宋" w:hAnsi="仿宋" w:eastAsia="仿宋" w:cs="仿宋"/>
          <w:color w:val="101010"/>
          <w:kern w:val="0"/>
          <w:sz w:val="32"/>
          <w:szCs w:val="32"/>
          <w:lang w:eastAsia="zh-CN"/>
        </w:rPr>
        <w:t>，</w:t>
      </w:r>
      <w:r>
        <w:rPr>
          <w:rFonts w:hint="eastAsia" w:ascii="仿宋" w:hAnsi="仿宋" w:eastAsia="仿宋" w:cs="仿宋"/>
          <w:color w:val="101010"/>
          <w:kern w:val="0"/>
          <w:sz w:val="32"/>
          <w:szCs w:val="32"/>
        </w:rPr>
        <w:t>形成绩效评价自评报告。</w:t>
      </w:r>
    </w:p>
    <w:p>
      <w:pPr>
        <w:spacing w:line="610" w:lineRule="exact"/>
        <w:ind w:firstLine="640" w:firstLineChars="200"/>
        <w:rPr>
          <w:rFonts w:ascii="楷体" w:hAnsi="楷体" w:eastAsia="楷体" w:cs="Times New Roman"/>
          <w:sz w:val="32"/>
          <w:szCs w:val="32"/>
        </w:rPr>
      </w:pPr>
      <w:r>
        <w:rPr>
          <w:rFonts w:hint="eastAsia" w:ascii="楷体" w:hAnsi="楷体" w:eastAsia="楷体" w:cs="楷体"/>
          <w:sz w:val="32"/>
          <w:szCs w:val="32"/>
        </w:rPr>
        <w:t>（三）绩效目标完成情况分析</w:t>
      </w:r>
    </w:p>
    <w:p>
      <w:pPr>
        <w:spacing w:line="580" w:lineRule="exact"/>
        <w:ind w:firstLine="640" w:firstLineChars="200"/>
        <w:outlineLvl w:val="0"/>
        <w:rPr>
          <w:rFonts w:hint="eastAsia" w:ascii="仿宋" w:hAnsi="仿宋" w:eastAsia="仿宋" w:cs="楷体_GB2312"/>
          <w:sz w:val="32"/>
          <w:szCs w:val="32"/>
        </w:rPr>
      </w:pPr>
      <w:r>
        <w:rPr>
          <w:rFonts w:ascii="仿宋" w:hAnsi="仿宋" w:eastAsia="仿宋" w:cs="楷体_GB2312"/>
          <w:sz w:val="32"/>
          <w:szCs w:val="32"/>
        </w:rPr>
        <w:t>1.</w:t>
      </w:r>
      <w:r>
        <w:rPr>
          <w:rFonts w:hint="eastAsia" w:ascii="仿宋" w:hAnsi="仿宋" w:eastAsia="仿宋" w:cs="楷体_GB2312"/>
          <w:sz w:val="32"/>
          <w:szCs w:val="32"/>
        </w:rPr>
        <w:t>预算执行情况分析（包括完成情况和偏离原因等）。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 w:hAnsi="仿宋" w:eastAsia="仿宋" w:cs="仿宋"/>
          <w:sz w:val="32"/>
          <w:szCs w:val="32"/>
          <w:lang w:val="en-US" w:eastAsia="zh-CN"/>
        </w:rPr>
      </w:pPr>
      <w:r>
        <w:rPr>
          <w:rFonts w:hint="eastAsia" w:ascii="仿宋" w:hAnsi="仿宋" w:eastAsia="仿宋" w:cs="楷体_GB2312"/>
          <w:sz w:val="32"/>
          <w:szCs w:val="32"/>
          <w:lang w:eastAsia="zh-CN"/>
        </w:rPr>
        <w:t>办案业务专项经费与</w:t>
      </w:r>
      <w:r>
        <w:rPr>
          <w:rFonts w:hint="eastAsia" w:ascii="仿宋" w:hAnsi="仿宋" w:eastAsia="仿宋" w:cs="仿宋"/>
          <w:sz w:val="32"/>
          <w:szCs w:val="32"/>
          <w:lang w:eastAsia="zh-CN"/>
        </w:rPr>
        <w:t>综合运转保障专项经费年初预算与执行数保持一致，执行率</w:t>
      </w:r>
      <w:r>
        <w:rPr>
          <w:rFonts w:hint="eastAsia" w:ascii="仿宋" w:hAnsi="仿宋" w:eastAsia="仿宋" w:cs="仿宋"/>
          <w:sz w:val="32"/>
          <w:szCs w:val="32"/>
          <w:lang w:val="en-US" w:eastAsia="zh-CN"/>
        </w:rPr>
        <w:t>100%。未发生预算执行偏离的情况。</w:t>
      </w:r>
    </w:p>
    <w:p>
      <w:pPr>
        <w:spacing w:line="580" w:lineRule="exact"/>
        <w:ind w:firstLine="600" w:firstLineChars="200"/>
        <w:outlineLvl w:val="0"/>
        <w:rPr>
          <w:rFonts w:ascii="仿宋" w:hAnsi="仿宋" w:eastAsia="仿宋" w:cs="Times New Roman"/>
          <w:sz w:val="32"/>
          <w:szCs w:val="32"/>
        </w:rPr>
      </w:pPr>
      <w:r>
        <w:rPr>
          <w:rFonts w:ascii="仿宋" w:hAnsi="仿宋" w:eastAsia="仿宋" w:cs="楷体_GB2312"/>
          <w:spacing w:val="-10"/>
          <w:sz w:val="32"/>
          <w:szCs w:val="32"/>
        </w:rPr>
        <w:t>2.</w:t>
      </w:r>
      <w:r>
        <w:rPr>
          <w:rFonts w:hint="eastAsia" w:ascii="仿宋" w:hAnsi="仿宋" w:eastAsia="仿宋" w:cs="楷体_GB2312"/>
          <w:spacing w:val="-10"/>
          <w:sz w:val="32"/>
          <w:szCs w:val="32"/>
        </w:rPr>
        <w:t>绩效目标完成情况分析（包括完成情况和偏离原因等）。</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）产出指标完成情况分析。</w:t>
      </w:r>
    </w:p>
    <w:p>
      <w:pPr>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i w:val="0"/>
          <w:iCs w:val="0"/>
          <w:sz w:val="32"/>
          <w:szCs w:val="32"/>
          <w:lang w:val="en-US" w:eastAsia="zh-CN"/>
        </w:rPr>
        <w:t>2020</w:t>
      </w:r>
      <w:r>
        <w:rPr>
          <w:rFonts w:hint="eastAsia" w:ascii="仿宋" w:hAnsi="仿宋" w:eastAsia="仿宋"/>
          <w:i w:val="0"/>
          <w:iCs w:val="0"/>
          <w:sz w:val="32"/>
          <w:szCs w:val="32"/>
        </w:rPr>
        <w:t>年度，我院坚持以执行预算为中心，以节约费用为重点</w:t>
      </w:r>
      <w:r>
        <w:rPr>
          <w:rFonts w:hint="eastAsia" w:ascii="仿宋" w:hAnsi="仿宋" w:eastAsia="仿宋"/>
          <w:i w:val="0"/>
          <w:iCs w:val="0"/>
          <w:sz w:val="32"/>
          <w:szCs w:val="32"/>
          <w:lang w:eastAsia="zh-CN"/>
        </w:rPr>
        <w:t>，</w:t>
      </w:r>
      <w:r>
        <w:rPr>
          <w:rFonts w:hint="eastAsia" w:ascii="仿宋" w:hAnsi="仿宋" w:eastAsia="仿宋"/>
          <w:i w:val="0"/>
          <w:iCs w:val="0"/>
          <w:sz w:val="32"/>
          <w:szCs w:val="32"/>
        </w:rPr>
        <w:t>抓好单位财务管理工作，严格遵守《行政事业单位会计制度》，较好</w:t>
      </w:r>
      <w:r>
        <w:rPr>
          <w:rFonts w:hint="eastAsia" w:ascii="仿宋" w:hAnsi="仿宋" w:eastAsia="仿宋"/>
          <w:i w:val="0"/>
          <w:iCs w:val="0"/>
          <w:sz w:val="32"/>
          <w:szCs w:val="32"/>
          <w:lang w:eastAsia="zh-CN"/>
        </w:rPr>
        <w:t>地</w:t>
      </w:r>
      <w:r>
        <w:rPr>
          <w:rFonts w:hint="eastAsia" w:ascii="仿宋" w:hAnsi="仿宋" w:eastAsia="仿宋"/>
          <w:i w:val="0"/>
          <w:iCs w:val="0"/>
          <w:sz w:val="32"/>
          <w:szCs w:val="32"/>
        </w:rPr>
        <w:t>完成了各项工作任务。</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）效益指标完成情况分析。</w:t>
      </w:r>
    </w:p>
    <w:p>
      <w:pPr>
        <w:snapToGrid w:val="0"/>
        <w:spacing w:line="560" w:lineRule="exact"/>
        <w:ind w:firstLine="640" w:firstLineChars="200"/>
        <w:rPr>
          <w:rFonts w:hint="eastAsia" w:ascii="仿宋" w:hAnsi="仿宋" w:eastAsia="仿宋"/>
          <w:i w:val="0"/>
          <w:iCs w:val="0"/>
          <w:sz w:val="32"/>
          <w:szCs w:val="32"/>
        </w:rPr>
      </w:pPr>
      <w:r>
        <w:rPr>
          <w:rFonts w:hint="eastAsia" w:ascii="仿宋" w:hAnsi="仿宋" w:eastAsia="仿宋"/>
          <w:i w:val="0"/>
          <w:iCs w:val="0"/>
          <w:sz w:val="32"/>
          <w:szCs w:val="32"/>
          <w:lang w:val="en-US" w:eastAsia="zh-CN"/>
        </w:rPr>
        <w:t>2020年</w:t>
      </w:r>
      <w:r>
        <w:rPr>
          <w:rFonts w:hint="eastAsia" w:ascii="仿宋" w:hAnsi="仿宋" w:eastAsia="仿宋"/>
          <w:i w:val="0"/>
          <w:iCs w:val="0"/>
          <w:sz w:val="32"/>
          <w:szCs w:val="32"/>
        </w:rPr>
        <w:t>，</w:t>
      </w:r>
      <w:r>
        <w:rPr>
          <w:rFonts w:hint="eastAsia" w:ascii="仿宋" w:hAnsi="仿宋" w:eastAsia="仿宋"/>
          <w:i w:val="0"/>
          <w:iCs w:val="0"/>
          <w:sz w:val="32"/>
          <w:szCs w:val="32"/>
          <w:lang w:eastAsia="zh-CN"/>
        </w:rPr>
        <w:t>为健全财务管理制度，规范财务支出报销程序，</w:t>
      </w:r>
      <w:r>
        <w:rPr>
          <w:rFonts w:hint="eastAsia" w:ascii="仿宋" w:hAnsi="仿宋" w:eastAsia="仿宋"/>
          <w:i w:val="0"/>
          <w:iCs w:val="0"/>
          <w:sz w:val="32"/>
          <w:szCs w:val="32"/>
        </w:rPr>
        <w:t>较好地保障了审判工作的正常运转。在</w:t>
      </w:r>
      <w:r>
        <w:rPr>
          <w:rFonts w:hint="eastAsia" w:ascii="仿宋" w:hAnsi="仿宋" w:eastAsia="仿宋"/>
          <w:i w:val="0"/>
          <w:iCs w:val="0"/>
          <w:sz w:val="32"/>
          <w:szCs w:val="32"/>
          <w:lang w:eastAsia="zh-CN"/>
        </w:rPr>
        <w:t>以后的</w:t>
      </w:r>
      <w:r>
        <w:rPr>
          <w:rFonts w:hint="eastAsia" w:ascii="仿宋" w:hAnsi="仿宋" w:eastAsia="仿宋"/>
          <w:i w:val="0"/>
          <w:iCs w:val="0"/>
          <w:sz w:val="32"/>
          <w:szCs w:val="32"/>
        </w:rPr>
        <w:t>财务工作中，</w:t>
      </w:r>
      <w:r>
        <w:rPr>
          <w:rFonts w:hint="eastAsia" w:ascii="仿宋" w:hAnsi="仿宋" w:eastAsia="仿宋"/>
          <w:i w:val="0"/>
          <w:iCs w:val="0"/>
          <w:sz w:val="32"/>
          <w:szCs w:val="32"/>
          <w:lang w:eastAsia="zh-CN"/>
        </w:rPr>
        <w:t>我院</w:t>
      </w:r>
      <w:r>
        <w:rPr>
          <w:rFonts w:hint="eastAsia" w:ascii="仿宋" w:hAnsi="仿宋" w:eastAsia="仿宋"/>
          <w:i w:val="0"/>
          <w:iCs w:val="0"/>
          <w:sz w:val="32"/>
          <w:szCs w:val="32"/>
        </w:rPr>
        <w:t>将继续加强财务管理、会计核算等方面的工作，更加规范管理，细化审批，力争使有限资金发挥更大效益。</w:t>
      </w:r>
    </w:p>
    <w:p>
      <w:pPr>
        <w:spacing w:line="61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（四）上年度部门整体绩效自评结果应用情况。</w:t>
      </w:r>
    </w:p>
    <w:p>
      <w:pPr>
        <w:spacing w:line="580" w:lineRule="exact"/>
        <w:ind w:firstLine="640" w:firstLineChars="200"/>
        <w:rPr>
          <w:rFonts w:hint="eastAsia" w:ascii="楷体" w:hAnsi="楷体" w:eastAsia="楷体" w:cs="楷体"/>
          <w:sz w:val="32"/>
          <w:szCs w:val="32"/>
        </w:rPr>
      </w:pPr>
      <w:r>
        <w:rPr>
          <w:rFonts w:hint="eastAsia" w:ascii="仿宋_GB2312" w:hAnsi="仿宋" w:eastAsia="仿宋_GB2312"/>
          <w:sz w:val="32"/>
          <w:szCs w:val="32"/>
          <w:lang w:val="en-US" w:eastAsia="zh-CN"/>
        </w:rPr>
        <w:t>通过绩效自评，对上年度的预算安排及执行情况有了进一步的明确和了解，可以针对预算执行过程中出现的偏离和问题进行及时反思和总结，对本年度的预算安排有着重要的参考意义，有助于下一阶段预算工作更高质量的展开，切实提高预算执行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（五）其他佐证材料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101010"/>
          <w:kern w:val="0"/>
          <w:sz w:val="32"/>
          <w:szCs w:val="32"/>
          <w:lang w:val="en-US"/>
        </w:rPr>
      </w:pPr>
      <w:r>
        <w:rPr>
          <w:rFonts w:hint="eastAsia" w:ascii="仿宋" w:hAnsi="仿宋" w:eastAsia="仿宋" w:cs="Times New Roman"/>
          <w:sz w:val="32"/>
          <w:szCs w:val="32"/>
        </w:rPr>
        <w:t>在绩效</w:t>
      </w:r>
      <w:r>
        <w:rPr>
          <w:rFonts w:ascii="仿宋" w:hAnsi="仿宋" w:eastAsia="仿宋" w:cs="Times New Roman"/>
          <w:sz w:val="32"/>
          <w:szCs w:val="32"/>
        </w:rPr>
        <w:t>评价过程中，对佐证材料有支撑作用的相关资料</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国库集中支付</w:t>
      </w:r>
      <w:r>
        <w:rPr>
          <w:rFonts w:hint="eastAsia" w:ascii="仿宋" w:hAnsi="仿宋" w:eastAsia="仿宋" w:cs="Times New Roman"/>
          <w:sz w:val="32"/>
          <w:szCs w:val="32"/>
          <w:lang w:val="en-US" w:eastAsia="zh-CN"/>
        </w:rPr>
        <w:t>2020年</w:t>
      </w:r>
      <w:r>
        <w:rPr>
          <w:rFonts w:hint="eastAsia" w:ascii="仿宋" w:hAnsi="仿宋" w:eastAsia="仿宋" w:cs="Times New Roman"/>
          <w:sz w:val="32"/>
          <w:szCs w:val="32"/>
          <w:lang w:eastAsia="zh-CN"/>
        </w:rPr>
        <w:t>预算执行情况表；</w:t>
      </w:r>
      <w:r>
        <w:rPr>
          <w:rFonts w:hint="eastAsia" w:ascii="仿宋" w:hAnsi="仿宋" w:eastAsia="仿宋" w:cs="仿宋"/>
          <w:color w:val="101010"/>
          <w:kern w:val="0"/>
          <w:sz w:val="32"/>
          <w:szCs w:val="32"/>
          <w:lang w:val="en-US" w:eastAsia="zh-CN"/>
        </w:rPr>
        <w:t>2.省高院对账表；3.决算资料；4.预算资料；5.财务凭证等。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r>
        <w:rPr>
          <w:rFonts w:hint="eastAsia" w:ascii="仿宋" w:hAnsi="仿宋" w:eastAsia="仿宋" w:cs="仿宋"/>
          <w:color w:val="101010"/>
          <w:kern w:val="0"/>
          <w:sz w:val="32"/>
          <w:szCs w:val="32"/>
        </w:rPr>
        <w:t xml:space="preserve">      </w:t>
      </w:r>
      <w:r>
        <w:rPr>
          <w:rFonts w:hint="eastAsia" w:ascii="仿宋" w:hAnsi="仿宋" w:eastAsia="仿宋" w:cs="仿宋"/>
          <w:color w:val="101010"/>
          <w:kern w:val="0"/>
          <w:sz w:val="32"/>
          <w:szCs w:val="32"/>
          <w:lang w:val="en-US" w:eastAsia="zh-CN"/>
        </w:rPr>
        <w:t xml:space="preserve">            </w:t>
      </w:r>
      <w:r>
        <w:rPr>
          <w:rFonts w:hint="eastAsia" w:ascii="仿宋" w:hAnsi="仿宋" w:eastAsia="仿宋" w:cs="仿宋"/>
          <w:color w:val="101010"/>
          <w:kern w:val="0"/>
          <w:sz w:val="32"/>
          <w:szCs w:val="32"/>
        </w:rPr>
        <w:t xml:space="preserve">       </w:t>
      </w:r>
      <w:r>
        <w:rPr>
          <w:rFonts w:hint="eastAsia" w:ascii="仿宋" w:hAnsi="仿宋" w:eastAsia="仿宋" w:cs="仿宋"/>
          <w:color w:val="101010"/>
          <w:kern w:val="0"/>
          <w:sz w:val="32"/>
          <w:szCs w:val="32"/>
          <w:lang w:val="en-US" w:eastAsia="zh-CN"/>
        </w:rPr>
        <w:t>2021</w:t>
      </w:r>
      <w:r>
        <w:rPr>
          <w:rFonts w:hint="eastAsia" w:ascii="仿宋" w:hAnsi="仿宋" w:eastAsia="仿宋" w:cs="仿宋"/>
          <w:color w:val="101010"/>
          <w:kern w:val="0"/>
          <w:sz w:val="32"/>
          <w:szCs w:val="32"/>
        </w:rPr>
        <w:t>年</w:t>
      </w:r>
      <w:r>
        <w:rPr>
          <w:rFonts w:hint="eastAsia" w:ascii="仿宋" w:hAnsi="仿宋" w:eastAsia="仿宋" w:cs="仿宋"/>
          <w:color w:val="101010"/>
          <w:kern w:val="0"/>
          <w:sz w:val="32"/>
          <w:szCs w:val="32"/>
          <w:lang w:val="en-US" w:eastAsia="zh-CN"/>
        </w:rPr>
        <w:t>3</w:t>
      </w:r>
      <w:r>
        <w:rPr>
          <w:rFonts w:hint="eastAsia" w:ascii="仿宋" w:hAnsi="仿宋" w:eastAsia="仿宋" w:cs="仿宋"/>
          <w:color w:val="101010"/>
          <w:kern w:val="0"/>
          <w:sz w:val="32"/>
          <w:szCs w:val="32"/>
        </w:rPr>
        <w:t>月</w:t>
      </w:r>
      <w:r>
        <w:rPr>
          <w:rFonts w:hint="eastAsia" w:ascii="仿宋" w:hAnsi="仿宋" w:eastAsia="仿宋" w:cs="仿宋"/>
          <w:color w:val="101010"/>
          <w:kern w:val="0"/>
          <w:sz w:val="32"/>
          <w:szCs w:val="32"/>
          <w:lang w:val="en-US" w:eastAsia="zh-CN"/>
        </w:rPr>
        <w:t>2</w:t>
      </w:r>
      <w:r>
        <w:rPr>
          <w:rFonts w:hint="eastAsia" w:ascii="仿宋" w:hAnsi="仿宋" w:eastAsia="仿宋" w:cs="仿宋"/>
          <w:color w:val="10101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101010"/>
          <w:kern w:val="0"/>
          <w:sz w:val="32"/>
          <w:szCs w:val="32"/>
        </w:rPr>
      </w:pPr>
    </w:p>
    <w:p>
      <w:pPr>
        <w:rPr>
          <w:rFonts w:hint="eastAsia" w:ascii="仿宋_GB2312" w:hAnsi="宋体" w:eastAsia="仿宋_GB2312" w:cs="仿宋_GB2312"/>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5B94"/>
    <w:rsid w:val="00287748"/>
    <w:rsid w:val="00DE110D"/>
    <w:rsid w:val="031179EB"/>
    <w:rsid w:val="04215A4F"/>
    <w:rsid w:val="04975FD5"/>
    <w:rsid w:val="085046B2"/>
    <w:rsid w:val="0AD35B94"/>
    <w:rsid w:val="18E55270"/>
    <w:rsid w:val="1BAB5C6C"/>
    <w:rsid w:val="1EB46551"/>
    <w:rsid w:val="1FC1478B"/>
    <w:rsid w:val="20912E57"/>
    <w:rsid w:val="21236913"/>
    <w:rsid w:val="218169B8"/>
    <w:rsid w:val="221B35DF"/>
    <w:rsid w:val="265B6FB3"/>
    <w:rsid w:val="27E55505"/>
    <w:rsid w:val="311976F7"/>
    <w:rsid w:val="38E61739"/>
    <w:rsid w:val="39217D8F"/>
    <w:rsid w:val="396F2D39"/>
    <w:rsid w:val="397822C9"/>
    <w:rsid w:val="4128170D"/>
    <w:rsid w:val="493B28B0"/>
    <w:rsid w:val="4A416807"/>
    <w:rsid w:val="4FA120EE"/>
    <w:rsid w:val="4FF61A41"/>
    <w:rsid w:val="501824B5"/>
    <w:rsid w:val="5350302D"/>
    <w:rsid w:val="56EC22D7"/>
    <w:rsid w:val="59042BAD"/>
    <w:rsid w:val="5C6915DC"/>
    <w:rsid w:val="5C71485A"/>
    <w:rsid w:val="5CD4471A"/>
    <w:rsid w:val="5E4B4430"/>
    <w:rsid w:val="5F3368C6"/>
    <w:rsid w:val="65445D7B"/>
    <w:rsid w:val="694F080E"/>
    <w:rsid w:val="6C6434F5"/>
    <w:rsid w:val="6D594E7F"/>
    <w:rsid w:val="724B7326"/>
    <w:rsid w:val="74DF3414"/>
    <w:rsid w:val="751C08B2"/>
    <w:rsid w:val="75E658C6"/>
    <w:rsid w:val="7BFE21C6"/>
    <w:rsid w:val="7DFC1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2021-03-02T09:21:00Z</dcterms:created>
  <dc:creator>向晴</dc:creator>
  <cp:lastModifiedBy>向晴</cp:lastModifiedBy>
  <dcterms:modified xsi:type="dcterms:W3CDTF">2021-09-09T03:41:07Z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138859FA68C1429AB8250197C6A1308F</vt:lpwstr>
  </property>
</Properties>
</file>