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黑体"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年度办案业务专项经费项目自评表</w:t>
      </w:r>
    </w:p>
    <w:p>
      <w:pPr>
        <w:rPr>
          <w:rFonts w:cs="Times New Roman"/>
        </w:rPr>
      </w:pPr>
    </w:p>
    <w:p>
      <w:pPr>
        <w:widowControl/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湖北省襄阳市中级人民法院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2021/03/02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襄阳市中级人民法院办案业务专项经费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36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湖北省高级人民法院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襄阳市中级人民法院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670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670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数量指标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案件立案率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质量指标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案件质量评查合格率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时效指标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正常审限期内案件结案率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成本指标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案件办案成本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不超预算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不超预算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社会效益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保护当事人合法权益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保障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保障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社会效益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促进经济发展社会和谐稳定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社会效益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裁判文书上网率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98.8%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社会效益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网络信访回复率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2020年度办案业务专项绩效目标已完成。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我院司法公开工作经各业务部门多措并举，在生效裁判文书上网比、庭审直播数等指标方面，均取得了较好的成绩。针对上年度裁判文书上网率不高的问题，我院加强整改，加大督办工作力度，抓好生效裁判文书质量。2020年，我院裁判文书上网率达98.8%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widowControl/>
        <w:rPr>
          <w:rFonts w:ascii="黑体" w:hAnsi="宋体" w:eastAsia="黑体" w:cs="黑体"/>
          <w:sz w:val="28"/>
          <w:szCs w:val="28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  <w:r>
        <w:rPr>
          <w:rFonts w:ascii="仿宋_GB2312" w:hAnsi="宋体" w:eastAsia="仿宋_GB2312" w:cs="Times New Roman"/>
          <w:kern w:val="0"/>
        </w:rPr>
        <w:br w:type="page"/>
      </w:r>
    </w:p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年度综合运转保障专项经费项目自评表</w:t>
      </w:r>
    </w:p>
    <w:p>
      <w:pPr>
        <w:rPr>
          <w:rFonts w:cs="Times New Roman"/>
        </w:rPr>
      </w:pPr>
    </w:p>
    <w:p>
      <w:pPr>
        <w:widowControl/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湖北省襄阳市中级人民法院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2021/03/02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襄阳市中级人民法院综合运转保障专项经费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36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湖北省高级人民法院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襄阳市中级人民法院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111.5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111.5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数量指标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年度计划工作完成率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数量指标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公共设施完好率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时效指标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年度计划工作完成及时率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成本指标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项目成本控制率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不超预算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不超预算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社会效益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保障机关正常运转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保障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保障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满意度指标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内部机构人员满意度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2020年度综合运转保障专项绩效目标已完成。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为广大干警提供安全、有序、清洁、便捷的工作环境，确保各项工作的顺利开展，进一步深入推进公正司法，坚持司法为民，着力维护社会稳定。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rPr>
          <w:rFonts w:hint="eastAsia" w:ascii="仿宋_GB2312" w:hAnsi="宋体" w:eastAsia="仿宋_GB2312" w:cs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襄阳市中级人民法院</w:t>
      </w:r>
    </w:p>
    <w:p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2020年度</w:t>
      </w:r>
      <w:r>
        <w:rPr>
          <w:rFonts w:hint="eastAsia" w:ascii="宋体" w:hAnsi="宋体"/>
          <w:b/>
          <w:sz w:val="36"/>
          <w:szCs w:val="36"/>
          <w:lang w:eastAsia="zh-CN"/>
        </w:rPr>
        <w:t>办案业务专项经费项目</w:t>
      </w:r>
      <w:r>
        <w:rPr>
          <w:rFonts w:hint="eastAsia" w:ascii="宋体" w:hAnsi="宋体"/>
          <w:b/>
          <w:sz w:val="36"/>
          <w:szCs w:val="36"/>
        </w:rPr>
        <w:t>绩效自评报告</w:t>
      </w:r>
    </w:p>
    <w:p>
      <w:pPr>
        <w:spacing w:line="540" w:lineRule="exact"/>
        <w:ind w:firstLine="720" w:firstLineChars="200"/>
        <w:jc w:val="center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514718180"/>
      <w:r>
        <w:rPr>
          <w:rFonts w:hint="eastAsia" w:ascii="黑体" w:hAnsi="黑体" w:eastAsia="黑体" w:cs="黑体"/>
          <w:sz w:val="32"/>
          <w:szCs w:val="32"/>
        </w:rPr>
        <w:t>一、自评结论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（一）绩效自评得分。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（二）绩效目标完成情况。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执行率情况。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完成的绩效目标。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2020年，我院受案数11997件，有效地保障人民法院审判、执行活动的顺利进行，着力维护社会稳定。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未完成的绩效目标。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（四）自评结果拟应用建议。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1" w:name="_Toc8204209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下一步，我院将加大办案力度，更好地履行法律赋予的职能，维护司法权威和公信力，维护当事人的合法权益，努力让人民群众在每一个司法案件中感受到公平正义。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二、佐证资料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简要概述项目立项目的和年度绩效目标。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“全面依法治国,开启中国法治新时代”的今天，襄阳中院既要总揽全市法院系统格局，协调各方关系，负责对全市10个基层法院的审判业务监督指导，自身又负有审理一审、二审、再审刑事、民事、行政案件和执行、国家赔偿案件以及化解涉诉信访和群体性事件的审判职责，每年都要承担相当繁重的办案任务，处理化解大量的矛盾纠纷，办案压力增长空前。办案差旅费和办案劳务费需求激增，故申请办案业务专项经费，用于保障法院审判业务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简要概述项目资金情况（包括资金结构、投向、用</w:t>
      </w:r>
      <w:r>
        <w:rPr>
          <w:rFonts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途、分配方式、结果等相关情况，常年性项目说明年度情况，延续性项目说明周期情况）。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差旅费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劳务费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490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_GB2312" w:hAnsi="楷体" w:eastAsia="楷体_GB2312" w:cs="楷体_GB2312"/>
          <w:sz w:val="32"/>
          <w:szCs w:val="32"/>
        </w:rPr>
        <w:t>部门自评工作开展情况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湖北省省级预算绩效评价管理暂行办法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》文件要求，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对20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年度部门整体支出数据的准确性、真实性进行核实，将20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年度和20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年度部门整体支出情况进行比较分析。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查阅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年度预算安排、预算追加、资金管理、经费支出、资产管理等相关文件资料和财务凭证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结合本院情况进行综合分析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形成绩效评价自评报告。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预算执行情况分析（包括完成情况和偏离原因等）。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办案业务专项经费年初预算与执行数保持一致，执行率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100%。未发生预算执行偏离的情况。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绩效目标完成情况分析（包括完成情况和偏离原因等）。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）产出指标完成情况分析。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受案数超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10000件，产出指标的实际完成值，均达到年初目标值。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着力维护社会稳定，效益指标的实际完成值，均达到年初目标值。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（四）上年度绩效自评结果应用情况。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我院司法公开工作经各业务部门多措并举，在生效裁判文书上网比、庭审直播数等指标方面，均取得了较好的成绩。针对上年度裁判文书上网率不高的问题，我院加强整改，加大督办工作力度，抓好生效裁判文书质量。2020年，我院裁判文书上网率达98.8%（2019年裁判文书上网率68.9%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（五）其他佐证材料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color w:val="10101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</w:rPr>
        <w:t>在绩效</w:t>
      </w:r>
      <w:r>
        <w:rPr>
          <w:rFonts w:ascii="仿宋" w:hAnsi="仿宋" w:eastAsia="仿宋" w:cs="Times New Roman"/>
          <w:sz w:val="32"/>
          <w:szCs w:val="32"/>
        </w:rPr>
        <w:t>评价过程中，对佐证材料有支撑作用的相关资料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国库集中支付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预算执行情况表</w:t>
      </w:r>
      <w:bookmarkEnd w:id="0"/>
      <w:bookmarkEnd w:id="1"/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2.省高院对账表；3.决算资料；4.预算资料；5.财务凭证等。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日</w:t>
      </w:r>
      <w:bookmarkStart w:id="2" w:name="_Toc514718198"/>
      <w:bookmarkEnd w:id="2"/>
    </w:p>
    <w:p>
      <w:pPr>
        <w:spacing w:line="48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襄阳市中级人民法院</w:t>
      </w:r>
    </w:p>
    <w:p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2020年度</w:t>
      </w:r>
      <w:r>
        <w:rPr>
          <w:rFonts w:hint="eastAsia" w:ascii="宋体" w:hAnsi="宋体"/>
          <w:b/>
          <w:sz w:val="36"/>
          <w:szCs w:val="36"/>
          <w:lang w:eastAsia="zh-CN"/>
        </w:rPr>
        <w:t>综合运转保障专项经费项目</w:t>
      </w:r>
      <w:r>
        <w:rPr>
          <w:rFonts w:hint="eastAsia" w:ascii="宋体" w:hAnsi="宋体"/>
          <w:b/>
          <w:sz w:val="36"/>
          <w:szCs w:val="36"/>
        </w:rPr>
        <w:t>绩效自评报告</w:t>
      </w:r>
    </w:p>
    <w:p>
      <w:pPr>
        <w:spacing w:line="540" w:lineRule="exact"/>
        <w:ind w:firstLine="720" w:firstLineChars="200"/>
        <w:jc w:val="center"/>
        <w:rPr>
          <w:rFonts w:hint="eastAsia" w:ascii="宋体" w:hAnsi="宋体"/>
          <w:sz w:val="36"/>
          <w:szCs w:val="36"/>
        </w:rPr>
      </w:pPr>
    </w:p>
    <w:p>
      <w:pPr>
        <w:spacing w:line="6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一、自评结论</w:t>
      </w:r>
    </w:p>
    <w:p>
      <w:pPr>
        <w:spacing w:line="61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（一）绩效自评得分。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100分</w:t>
      </w:r>
    </w:p>
    <w:p>
      <w:pPr>
        <w:spacing w:line="610" w:lineRule="exact"/>
        <w:ind w:firstLine="64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（二）绩效目标完成情况。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执行率情况。</w:t>
      </w:r>
    </w:p>
    <w:p>
      <w:pPr>
        <w:spacing w:line="610" w:lineRule="exact"/>
        <w:ind w:firstLine="64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100%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完成的绩效目标。</w:t>
      </w:r>
    </w:p>
    <w:p>
      <w:pPr>
        <w:spacing w:line="610" w:lineRule="exact"/>
        <w:ind w:firstLine="64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2020年，我院受案数11997件，有效地保障人民法院审判、执行活动的顺利进行，着力维护社会稳定。</w:t>
      </w:r>
    </w:p>
    <w:p>
      <w:pPr>
        <w:spacing w:line="61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未完成的绩效目标。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无</w:t>
      </w:r>
    </w:p>
    <w:p>
      <w:pPr>
        <w:spacing w:line="61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（三）存在的问题。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无</w:t>
      </w:r>
    </w:p>
    <w:p>
      <w:pPr>
        <w:spacing w:line="610" w:lineRule="exact"/>
        <w:ind w:firstLine="64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（四）自评结果拟应用建议。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下一步，我院将加大办案力度，更好地履行法律赋予的职能，维护司法权威和公信力，维护当事人的合法权益，努力让人民群众在每一个司法案件中感受到公平正义。</w:t>
      </w:r>
    </w:p>
    <w:p>
      <w:pPr>
        <w:spacing w:line="61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二、佐证资料</w:t>
      </w:r>
    </w:p>
    <w:p>
      <w:pPr>
        <w:spacing w:line="610" w:lineRule="exact"/>
        <w:ind w:firstLine="64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（一）基本情况</w:t>
      </w:r>
    </w:p>
    <w:p>
      <w:pPr>
        <w:spacing w:line="610" w:lineRule="exact"/>
        <w:ind w:firstLine="960" w:firstLineChars="3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简要概述项目立项目的和年度绩效目标。</w:t>
      </w:r>
    </w:p>
    <w:p>
      <w:pPr>
        <w:spacing w:line="61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保障法院审判中心业务和综合管理工作，营造干净整洁、高效高质的办案环境，做好综合大楼办公区域及诉讼服务大楼、停车场、园林区域的日常维护、保洁、卫生等工作，故申请综合运转保障专项经费，用于天然气及物业管理等支出。</w:t>
      </w:r>
    </w:p>
    <w:p>
      <w:pPr>
        <w:spacing w:line="61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简要概述项目资金情况（包括资金结构、投向、用</w:t>
      </w:r>
      <w:r>
        <w:rPr>
          <w:rFonts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途、分配方式、结果等相关情况，常年性项目说明年度情况，延续性项目说明周期情况）。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物业管理费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111.5万元。</w:t>
      </w:r>
    </w:p>
    <w:p>
      <w:pPr>
        <w:spacing w:line="61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(二)</w:t>
      </w:r>
      <w:r>
        <w:rPr>
          <w:rFonts w:hint="eastAsia" w:ascii="楷体" w:hAnsi="楷体" w:eastAsia="楷体" w:cs="楷体"/>
          <w:sz w:val="32"/>
          <w:szCs w:val="32"/>
        </w:rPr>
        <w:t>部门自评工作开展情况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湖北省省级预算绩效评价管理暂行办法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》文件要求，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对20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年度部门整体支出数据的准确性、真实性进行核实，将20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年度和20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年度部门整体支出情况进行比较分析。</w:t>
      </w:r>
    </w:p>
    <w:p>
      <w:pPr>
        <w:spacing w:line="610" w:lineRule="exact"/>
        <w:ind w:firstLine="640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查阅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年度预算安排、预算追加、资金管理、经费支出、资产管理等相关文件资料和财务凭证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结合本院情况进行综合分析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形成绩效评价自评报告。</w:t>
      </w:r>
    </w:p>
    <w:p>
      <w:pPr>
        <w:spacing w:line="610" w:lineRule="exact"/>
        <w:ind w:firstLine="64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预算执行情况分析（包括完成情况和偏离原因等）。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综合运转保障专项经费年初预算与执行数保持一致，执行率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100%。未发生预算执行偏离的情况。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绩效目标完成情况分析（包括完成情况和偏离原因等）。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）产出指标完成情况分析。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受案数超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10000件，产出指标的实际完成值，均达到年初目标值。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）效益指标完成情况分析。</w:t>
      </w:r>
    </w:p>
    <w:p>
      <w:pPr>
        <w:spacing w:line="610" w:lineRule="exact"/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着力提高审判管理和公共服务效率，效益指标的实际完成值，均达到年初目标值。</w:t>
      </w:r>
    </w:p>
    <w:p>
      <w:pPr>
        <w:spacing w:line="61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（四）上年度绩效自评结果应用情况。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通过绩效自评，对上年度的预算安排及执行情况有了进一步的明确和了解，可以针对预算执行过程中出现的偏离和问题进行及时反思和总结，对本年度的预算安排有着重要的参考意义，有助于下一阶段预算工作更高质量的展开，切实提高预算执行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（五）其他佐证材料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color w:val="10101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</w:rPr>
        <w:t>在绩效</w:t>
      </w:r>
      <w:r>
        <w:rPr>
          <w:rFonts w:ascii="仿宋" w:hAnsi="仿宋" w:eastAsia="仿宋" w:cs="Times New Roman"/>
          <w:sz w:val="32"/>
          <w:szCs w:val="32"/>
        </w:rPr>
        <w:t>评价过程中，对佐证材料有支撑作用的相关资料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国库集中支付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预算执行情况表；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2.省高院对账表；3.决算资料；4.预算资料；5.财务凭证等。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101010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5B94"/>
    <w:rsid w:val="00287748"/>
    <w:rsid w:val="00DE110D"/>
    <w:rsid w:val="031179EB"/>
    <w:rsid w:val="04215A4F"/>
    <w:rsid w:val="04975FD5"/>
    <w:rsid w:val="085046B2"/>
    <w:rsid w:val="0AD35B94"/>
    <w:rsid w:val="18C33C09"/>
    <w:rsid w:val="18E55270"/>
    <w:rsid w:val="1BAB5C6C"/>
    <w:rsid w:val="1EB46551"/>
    <w:rsid w:val="1FC1478B"/>
    <w:rsid w:val="20912E57"/>
    <w:rsid w:val="21236913"/>
    <w:rsid w:val="218169B8"/>
    <w:rsid w:val="221B35DF"/>
    <w:rsid w:val="265B6FB3"/>
    <w:rsid w:val="27E55505"/>
    <w:rsid w:val="311976F7"/>
    <w:rsid w:val="38E61739"/>
    <w:rsid w:val="39217D8F"/>
    <w:rsid w:val="396F2D39"/>
    <w:rsid w:val="397822C9"/>
    <w:rsid w:val="4128170D"/>
    <w:rsid w:val="493B28B0"/>
    <w:rsid w:val="4A416807"/>
    <w:rsid w:val="4FA120EE"/>
    <w:rsid w:val="4FF61A41"/>
    <w:rsid w:val="501824B5"/>
    <w:rsid w:val="5350302D"/>
    <w:rsid w:val="56EC22D7"/>
    <w:rsid w:val="59042BAD"/>
    <w:rsid w:val="5C6915DC"/>
    <w:rsid w:val="5C71485A"/>
    <w:rsid w:val="5CD4471A"/>
    <w:rsid w:val="5E4B4430"/>
    <w:rsid w:val="5F3368C6"/>
    <w:rsid w:val="65445D7B"/>
    <w:rsid w:val="6C6434F5"/>
    <w:rsid w:val="6D594E7F"/>
    <w:rsid w:val="724B7326"/>
    <w:rsid w:val="74DF3414"/>
    <w:rsid w:val="751C08B2"/>
    <w:rsid w:val="75E658C6"/>
    <w:rsid w:val="7BFE21C6"/>
    <w:rsid w:val="7DFC1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2021-03-02T09:21:00Z</dcterms:created>
  <dc:creator>向晴</dc:creator>
  <cp:lastModifiedBy>向晴</cp:lastModifiedBy>
  <dcterms:modified xsi:type="dcterms:W3CDTF">2021-09-09T03:40:24Z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F20F1CF1E1F84D39A4C9EF1BF10612CA</vt:lpwstr>
  </property>
</Properties>
</file>